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464243-П/2020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«Интербев» на нарушение конституционных прав и свобод пунктом 4 статьи 1252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«Интербев»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«Интербев» оспаривает конституционность пункта 4 статьи 1252 ГК Российской Федерации, согласно которому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иные последствия не предусмотрены данным Кодексом. 2 Как следует из представленных материалов, определением Арбитражного суда города Москвы от 17 октября 2017 года на товары, помещенные ООО «Интербев» под таможенную процедуру выпуска для внутреннего потребления, наложен арест по ходатайству лица, предъявившего к обществу требования, направленные на защиту исключительного права на товарный знак, в том числе требование об изъятии и уничтожении товаров. Решением этого же суда от 9 января 2018 года требования правообладателя удовлетворены. Названное решение было отменено постановлением Суда по интеллектуальным правам от 26 июля 2018 года, направившего дело на новое рассмотрение и указавшего, что с учетом позиций, выраженных в Постановлении Конституционного Суда Российской Федерации от 13 февраля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«Интербев»,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