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325929-П/2018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Барышевой Ирины Евгеньевны на нарушение ее конституционных прав статьями 309 и 311 Кодекса административного судопроизводства Российской Федерации и статьей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И.Е.Барышевой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статей 309 и 311 Кодекса административного судопроизводства Российской Федерации, устанавливающие полномочия суда апелляционной инстанции, а также закрепляющие требования к содержанию судебного акта суда апелляционной инстанции, будучи направленными в системной связи с другими положениями главы 34 данного Кодекса на исправление в апелляционном порядке возможной судебной ошибки в решениях судов первой инстанции, не могут рассматриваться как нарушающие конституционные права заявительницы, перечисленные в жалобе. В Постановлении от 30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Барышевой Ирины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