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234260-П/2016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Деменко Марины Владимировны на нарушение ее конституционных прав пунктами 1 и 2 статьи 222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М.В.Деменко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с учетом изменений, внесенных постановлением арбитражного суда апелляционной инстанции, оставленным без изменения арбитражным судом кассационной инстанции, были удовлетворены исковые требования органа местного самоуправления, предъявленные к гражданке М.В.Деменко – индивидуальному предпринимателю, в том числе о сносе самовольной постройки – объекта капитального строительства, право собственности на который ею было 2 приобретено на основании договора купли-продажи и зарегистрировано в установленном законом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Деменко Марины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