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383796-П/2018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Коряковцевой Дианы Александровны на нарушение ее конституционных прав частью 5 статьи 227 и абзацем вторым части 4 статьи 229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Д.А.Коряковцевой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Предоставление частью 5 статьи 227 АПК Российской Федерации арбитражному суду полномочий по вынесению определения о рассмотрении дела, подлежащего рассмотрению в порядке упрощенного производства, по 3 общим правилам искового производства или по правилам административного судопроизводства,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 вместе с тем не предполагает возможность решения судом этого вопроса произвольно и в противоречии с законом. Гарантией процессуальных прав лиц, участвующих в деле, являются установленные названным Кодексом процедуры проверки судебных актов вышестоящими судами и основания для их отмены или изменения. Следовательно, часть 5 статьи 227 АПК Российской Федерации не может расцениваться как нарушающая перечисленные в жалобе конституционные права заявительницы в указанном ею аспекте. Что касается оспариваемого в жалобе положения части 4 статьи 229 АПК Российской Федерации, то,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Коряковцевой Дианы Александровны,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