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327530-П/2018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Николая Анатольевича на нарушение его конституционных прав частью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Н.А.Петрова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Н.А.Петровым материалы, не находит оснований для принятия его жалобы к рассмотрению. Часть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закрепляющая основания и условия выплаты ежемесячной денежной компенсации сотрудникам, проходившим службу в учреждениях и органах, указанных в данном Федеральном законе, носит гарантийный характер. Данная компенсация – наряду с иными выплатами, 4 осуществляемыми в целях компенсации вреда, причиненного здоровью указанных лиц при исполнении ими служебных обязанностей (пенсиями, обеспечением по обязательному государственному страхованию и др.), – направлена на сохранение за сотрудниками утраченного вследствие названных причин денежного довольствия и обеспечивает защиту их интересов. Следовательно, оспариваемое законоположение направлено на обеспечение повышенной социальной защиты отдельной категории граждан и не может расцениваться как нарушающее права заявителя в указанном в жалобе аспекте. Разрешение же вопросов о выборе основания увольнения Н.А.Петрова со службы в уголовно-исполнительной системе, а также о наличии у него права на получение ежемесячной денежной компенсации с учетом обстоятельств конкретного дела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Николая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