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353244-П/2018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1 части второй статьи 4018 и статьей 40110 Уголовно-процессуального кодекса Российской Федерации, а также статьями 128, 220 и 222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с которым согласился суд апелляционной инстанции, оставлена без удовлетворения поданная в порядке статьи 125 УПК Российской Федерации жалоба гражданина Э.А.Гусейнова на решение должностного лица органов предварительного расследования о продлении срока предварительного следствия по его уголовному делу. Постановлением судьи краевого суда от 8 февраля 2018 года отказано в 2 передаче кассационной жалобы заявителя на указанные судебные решения для рассмотрения в судебном заседании суда кассационной инстанции. Продолжая обжалование неправомерных, по его мнению, решений, Э.А.Гусейнов оспорил их в порядке административного судопроизводства, однако в принятии административного искового заявления отказано определением судьи от 16 марта 2018 года ввиду того, что заявленные требования не подлежат рассмотрению в порядке, установленном Кодексом административного судопроизводства Российской Федерации. При этом данное судебное решение впоследствии отменено определением суда второй инстанции от 25 апреля 2018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