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402952-П/2019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статьей 29.121, статьями 30.3, 30.13 и 30.17 Кодекса Российской Федерации об административных правонарушениях, а также его главой 30 в целом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Э.А.Гусейнова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оспаривает конституционность статьи 29.121 «Исправление описок, опечаток и арифметических ошибок», главы 30 «Пересмотр постановлений и решений по делам об административных правонарушениях» в целом, а также ее статей 30.3 «Срок обжалования постановления по делу об административном правонарушении»,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и 30.17 «Виды постановлений, 2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Как следует из представленных материалов, вступившим в законную силу постановлением мирового судьи (с учетом исправленной описки) заявитель был признан виновным в совершении административного правонарушения, предусмотренного частью 1 статьи 12.26 «Невыполнение водителем транспортного средства требования о прохождении медицинского освидетельствования на состояние опьянения»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 Не согласившись с указанным постановлением, Э.А.Гусейнов обжаловал его в порядке, предусмотренном статьями 30.1–30.10 КоАП Российской Федерации, ходатайствуя при этом о восстановлении срока на обжалование этого постановления. Определением суда общей юрисдикции заявителю было отказано в удовлетворении его ходатайства, а жалоба возвращена в связи с пропуском процессуального срока. Впоследствии Э.А.Гусейнов обратился в суд общей юрисдикции с жалобой на вступившее в законную силу постановление по делу об административном правонарушении (статьи 30.12–30.19 КоАП Российской Федерации). Постановлением заместителя краевого суда, оставленным без изменения постановлением судьи Верховного Суда Российской Федерации, жалоба заявителя была оставлена без удовлетворения. По мнению Э.А.Гусейнова, названные законоположения не соответствуют статьям 6 (часть 2), 17 (часть 1), 19 (часть 1), 45, 46 (части 1 и 2), 49 (часть 1), 50 (часть 2), 55 (часть 3), 56 (часть 3) и 126 Конституции Российской Федерации, поскольку позволяют судам произвольно исправлять вынесенные судебные решения и необоснованно отказывать в удовлетворении ходатайств и жалоб граждан.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17 июля 2018 года Оспаривая конституционность главы 30 КоАП Российской Федерации в целом, Э.А.Гусейнов не конкретизирует свои требования. Между тем,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