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259513-П/2016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декабря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Маршук Валентины Михайловны на нарушение ее конституционных прав подпунктом «а» пункта 16 Правил организации коммерческого учета воды, сточных вод</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гражданки В.М.Маршук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арбитражного суда кассационной инстанции отменены решение арбитражного суда первой инстанции и постановление арбитражного суда апелляционной инстанции, которыми было отказано в удовлетворении исковых требований организации водопроводно- канализационного хозяйства к гражданке В.М.Маршук – индивидуальному предпринимателю о взыскании с нее в пользу истца задолженности по договору на отпуск питьевой воды, возникшей вследствие безучетного потребления ответчицей данного коммунального ресурса при самовольном 2 присоединении к централизованной системе водоснабжения. Решением арбитражного суда первой инстанции, вынесенным по результатам нового рассмотрения дела, оставленным без изменения арбитражными судами вышестоящих инстанций, данные исковые требования были удовлетворены в полном объеме.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Содержащееся в подпункте «а» пункта 16 Правил организации коммерческого учета воды, сточных вод правовое регулирование, принятое в соответствии с положениями статьи 20 Федерального закона от 7 декабря 2011 года № 416-ФЗ «О водоснабжении и водоотведении», направлено – с учетом особенностей регулирируемых отношений – на обеспечение баланса интересов сторон договоров водоснабжения и водоотведения в случаях такого нарушения условий договора, как безучетное потребление коммунальных ресурсов. Рассматриваемые во взаимосвязи со статьей 544 ГК Российской Федерации, предусматривающей, в частности, что оплата 4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 положения подпункта «а» пункта 16 Правил организации коммерческого учета воды, сточных вод не могут расцениваться как нарушающие перечисленные в жалобе конституционные права заявительницы в обозначенном ею аспекте, в деле с участием которой арбитражные суды указали, что в соответствии с условиями заключенного между истцом и ответчицей договора в случае несвоевременного уведомления абонентом о неисправности приборов учета потребляемого коммунального ресурса объем его безучетного потребления определяется исходя из пропускной способности устройств абонента, присоединенных к централизованной системе водоснабжения, определяемой с даты последней проверки (обследования) этих приборов, в том числе на предмет сохранности установленных на них пломб. Проверка же правильности установления и исследования фактических обстоятельств конкретного дела – на что, по существу, направлены доводы заявительницы – не входит в полномочия Конституционного Суда Российской Федерации, установленные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Маршук Валентины Михайловны, поскольку она не отвечает требованиям Федерального конституционного закона «О Конституционном Суде 5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