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281849-П/2017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Ахмедшина Валерия Валиевича на нарушение его конституционных прав частью 1 статьи 12.8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В.В.Ахмедшина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55 (часть 3) Конституции Российской Федерации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№ 196-ФЗ «О безопасности дорожного движения» и утвержденными постановлением Совета Министров – Правительства Российской Федерации от 23 октября 1993 года № 1090 Правилами дорожного движения Российской Федерации, в соответствии с которыми запрещается эксплуатация транспортных средств лицами, находящимися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 (пункт 21 статьи 19 указанного Федерального закона и пункт 2.7 Правил дорожного движения Российской Федерации). Определение факта нахождения лица в состоянии опьянения при управлении транспортным средством осуществляется посредством его 3 медицинского освидетельствования в порядке, предусмотренном статьей 27.12 КоАП Российской Федерации. Направление лица, управлявшего транспортным средством, на медицинское освидетельствование является процессуальным действием, позволяющим достоверно установить, находилось ли оно при этом в состоянии опьянения. Причем,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Ахмедшина Валерия Валиевича,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