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Есарева Сергея Васильевича на нарушение его конституционных прав пунктом 4 статьи 307, пунктом 4 части первой статьи 308, пунктом 1 части второй статьи 4125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С.В.Есарева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устанавливающий порядок уголовного судопроизводства, закрепляет в качестве прерогативы суда определение вида и размера наказания, подлежащего назначению подсудимому в случае его осуждения (пункт 7 части первой статьи 299), и не относит это к числу полномочий участников уголовного судопроизводства со стороны обвинения; соответственно, хотя сторона защиты и сторона обвинения вправе высказывать в ходе судебного заседания мнение о возможном наказании подсудимого и это мнение подлежит учету судом, оно не может расцениваться как ограничивающее дискреционные полномочия суда в выборе вида и размера назначаемого осужденному наказания; наличие у суда таких полномочий не противоречит его роли и месту в состязательном судопроизводстве (определения Конституционного Суда Российской Федерации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Есарева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