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359262-П/2018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Исаева Абдул-Вахаба Абазовича на нарушение его конституционных прав подпунктом «в» пункта 1 части второй статьи 151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С.Д.Князева, А.Н.Кокотова, Л.О.Красавчиковой, С.П.Маврина, Н.В.Мельникова, О.С.Хохряковой, В.Г.Ярославцева, рассмотрев вопрос о возможности принятия жалобы гражданина А.А.Исаева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Поданная в интересах гражданина А.А.Исаева, привлеченного к уголовной ответственности, жалоба на постановление прокурора об определении подследственности уголовного дела была оставлена судом без удовлетворения.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151 УПК Российской Федерации, устанавливая общие правила предметной подследственности уголовных дел, в том числе 3 правило о том, что предварительное следствие о преступлениях, совершенных должностными лицами органов внутренних дел Российской Федерации, осуществляется следователями Следственного комитета Российской Федерации (подпункт «в» пункта 1 части второй), предусматривает случаи, когда предварительное следствие может производиться также следователями органа, выявившего преступление (часть пятая), или следователями того органа, к чьей подследственности относится преступление, в связи с которым возбуждено соответствующее уголовное дело (часть шестая), а также наделяет прокурора полномочиями определять с соблюдением правил, установленных этой статьей, подследственность при соединении в одном производстве уголовных дел, подследственных разным органам предварительного расследования (часть седьмая), и разрешать споры о подследственности (часть восьмая). Приведенные законоположения, а равно и нормы пункта 12 части второй статьи 37 УПК Российской Федерации, уполномочивающие прокурора передавать уголовное дело или материалы проверки сообщения о преступлении от одного органа предварительного расследования другому (за исключением передачи уголовного дела или материалов проверки сообщения о преступлении в системе одного органа предварительного расследования) в соответствии с правилами, установленными статьей 151 данного Кодекса, изымать любое уголовное дело или любые материалы проверки сообщения о преступлении у органа предварительного расследования федерального органа исполнительной власти (при федеральном органе исполнительной власти) и передавать его (их) следователю Следственного комитета Российской Федерации с обязательным указанием оснований такой передачи, применяются во взаимосвязи с требованием части четвертой статьи 7 данного Кодекса, согласно которой определения суда, постановления судьи, прокурора, следователя, органа дознания, начальника органа дознания, начальника 4 подразделения дознания, дознавателя должны быть законными, обоснованными и мотивированными (определения Конституционного Суда Российской Федерации от 27 июня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Исаева Абдул-Вахаба Абазовича,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