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Игоря Владимировича на нарушение его конституционных прав статьями 4017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4017 УПК Российской Федерации кассационные жалоба, представление, поданные в соответствии с правилами, установленными статьями 4012–4014 этого Кодекса, изучаются в президиуме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 – судьей соответствующего суда (пункт 1), а в Судебной коллегии по уголовным делам Верховного Суда Российской Федерации, Судебной коллегии по делам военнослужащих Верховного Суда Российской Федерации – судьей Верховного Суда Российской Федерации (пункт 2). В соответствии же со статьей 4018 УПК Российской Федерации судьи, указанные в статье 4017 этого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выносят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3 кассационном порядке (при этом кассационные жалоба, представление и копии обжалуемых судебных постановлений остаются в суде кассационной инстанции),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указывал Конституционный Суд Российской Федерации, приведенные законоположения, устанавливающие предварительный единоличный порядок изучения судьей суда кассационной инстанции поступивших жалобы, представления, не могут расцениваться в качестве нарушающих конституционные права граждан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