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300903-П/2017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Артемьева Эдуарда Анатольевича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Э.А.Артемьева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 Э.А.Артемьева, приведенные в ней доводы о нарушении конституционных прав заявителя при рассмотрении арбитражным судом дела с его участием оспариваемыми положениями Арбитражного процессуального кодекса Российской Федерации сводятся к утверждению об их неправильном применении арбитражными судами, что привело к неправомерной передаче этого дела в другой арбитражный суд, который, в свою очередь, оставил его исковое заявление без рассмотрения, поскольку имеется соглашение о рассмотрении данного спора третейским судом. Оспариваемые заявителем положения статьи 39 АПК Российской Федерации, обязывающие арбитражный суд передать дело на рассмотрение другого арбитражного суда того же уровня в случае, если при рассмотрении дела в суде выяснилось, что оно было принято к производству с нарушением правил подсудности, а другой арбитражный суд – принять это дело к своему производству и предусматривающие порядок обжалования определения арбитражного суда о передаче дела на рассмотрение другого арбитражного суда, направлены на реализацию права, гарантированного статьей 47 (часть 1) Конституции Российской Федерации. Следовательно, нет оснований полагать, что данные законоположения нарушают перечисленные в жалобе конституционные права заявителя, учитывая, помимо прочего, наличие в договорах, заключенных между юридических лицом, участником которого он являлся, и ответчиками по делу, арбитражного соглашения, в соответствии с которым споры, возникающие из договоров или в связи с ними, подлежат рассмотрению третейским судом. 4 Перечисленные в жалобе иные положения Арбитражного процессуального кодекса Российской Федерации, предусматривающие основания для оставления искового заявления без рассмотрения (пункт 5 части 1 статьи 148) и для прекращения производства по делу (пункт 1 части 1 статьи 150), устанавливающие порядок и сроки обжалования определений (часть 5 статьи 188) и порядок прекращения производства по кассационной жалобе (часть 1 статьи 282), закрепляют за арбитражным судом ряд полномочий, необходимых для осуществления правосудия, и не допускают их произвольного применения арбитражными судами, а потому также не могут рассматриваться как нарушающие конституционные права заявителя, перечисленные в жалобе, в конкретном деле. Разрешение же вопроса о проверке правильности определения арбитражными судами в деле с участием заявителя правовой природы спорных правоотношений и, соответственно, о правомерности судебных актов о передаче дела на рассмотрение другого арбитражного суда и об оставлении искового заявления без рассмотрения предполагает установление фактических обстоятельств конкретного дела и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Артемьева Эдуарда Анатольевича,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