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324176-П/2018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Федерации, Федерального конституционного закона «О Конституционном Суде Российской Федерации» и Федерального конституционного закона «О судебной системе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жалобе Э.А.Гусейнова, свидетельствуют о том, что, формально оспаривая конституционность норм Уголовно- процессуального кодекса Российской Федерации, Федерального конституционного закона «О Конституционном Суде Российской Федерации» и Федерального конституционного закона «О судебной системе Российской Федерации», он предлагает Конституционному Суду Российской Федерации оценить обоснованность и правильность вынесенных по его делу правоприменительных решений, которыми, по его мнению, были нарушены требования закона о порядке продления срока предварительного расследования, сроке рассмотрения жалоб по правилам статьи 125 УПК Российской Федерации, основаниях отмены решения в суде апелляционной инстанции, юридической силе и значении правовых позиций Конституционного Суда Российской Федерации и разъяснений Пленума Верховного Суда Российской Федерации. Между тем разрешение такого рода вопросов, как и внесение целесообразных, с точки зрения заявителя, изменений и дополнений в действующее законодательство,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4 Вопрос же об участии защитника при рассмотрении жалоб в порядке статьи 125 УПК Российской Федерации заявителем уже ставился в предыдущих обращениях, по которым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