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350667-П/2018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«ОмскПрофТорг» на нарушение конституционных прав и свобод положениями частей второй и четвертой статьи 182 и части третьей статьи 183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«ОмскПрофТорг»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неприкосновенность частной жизни, личную и семейную тайну (статья 23, часть 1) и запрещает сбор, хранение, использование и распространение информации о частной жизни лица без его согласия (статья 24, часть 1). Из указанных конституционных гарантий вытекают,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«ОмскПрофТорг»,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