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259538-П/2016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Еремина Алексея Ивановича на нарушение его конституционных прав частью 4 статьи 125 Конституции Российской Федерации, частью первой статьи 79 Федерального конституционного закона «О Конституционном Суде Российской Федерации» и пунктом 5 параграфа 23 Регламента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А.И.Еремина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и Федеральный конституционный закон «О Конституционном Суде Российской Федерации» не допускают оспаривания в Конституционном Суде Российской Федерации, равно как и в иных судебных органах, норм Конституции Российской Федерации. Что же касается содержащегося в части первой статьи 79 Федерального конституционного закона «О Конституционном Суде Российской Федерации» положения об окончательном характере и невозможности обжалования решений Конституционного Суда Российской Федерации, то оно обусловлено вытекающим непосредственно из Конституции Российской Федерации статусом этого суда как единственного юрисдикционного органа, уполномоченного осуществлять конституционное судопроизводство по делам, отнесенным к его компетенции статьей 125 Конституции Российской Федерации.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Еремина Алексея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