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314948-П/2018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Садченко Андрея Александровича на нарушение его конституционных прав частью 6 статьи 12.211 и примечанием к статье 12.211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А.А.Садченко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федеральный законодатель, обладая широкой дискрецией в сфере административно-деликтных отношений, во всяком случае не может действовать произвольно при определении составов административных правонарушений и мер ответственности за их 3 совершение, будучи, прежде всего, связанным вытекающими из статьи 55 (часть 3) Конституции Российской Федерации критериями необходимости, пропорциональности и соразмерности ограничения прав и свобод граждан конституционно значимым целям; установление административной ответственности за те или иные административные правонарушения всегда предполагает определенную усредненность оценки законодателем соответствующего деяния и его возможных неблагоприятных последствий в контексте целей административного наказания – предупреждения совершения новых правонарушений как самим правонарушителем, так и другими лицами (постановления от 14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Садченко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