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437127-П/2019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Одинцова Сергея Ивановича на нарушение его конституционных прав частью первой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С.И.Одинцова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19 марта 2019 года удовлетворена поданная в порядке статьи 125 УПК Российской Федерации жалоба о признании незаконным постановления следователя, которым было отказано ввиду преждевременности в признании гражданина С.И.Одинцова потерпевшим по конкретному уголовному делу, возбужденному, с его слов, по его же заявлению. Однако постановлением суда апелляционной инстанции от 8 мая 2019 года, с чем, в свою очередь, согласился суд кассационной инстанции, названное решение отменено по 2 апелляционному представлению прокурора, а жалоба С.И.Одинцова оставлена без удовлетворения, поскольку, как указывалось, суд первой инстанции фактически сделал вывод о преступном причинении ущерба заявителю, подменив собой орган предварительного расследования. При этом разъяснено, что с учетом проводящихся по уголовному делу необходимых следственных и иных процессуальных действий, направленных на установление всех его обстоятельств, в том числе на выявление лиц, потерпевших от предполагаемого преступления, не исключено признание С.И.Одинцова потерпевшим в последующем. В этой связи С.И.Одинцов просит признать противоречащей статьям 1 (часть 1), 2, 17 (часть 1), 18, 19 (часть 1), 21 (часть 1), 45, 46 (части 1 и 2), 52 и 55 Конституции Российской Федерации часть первую статьи 42 «Потерпевший» УПК Российской Федерации, поскольку данная норма, по утверждению заявителя, в силу своей неопределенности допускает отказ в признании лица потерпевшим по уголовному делу до установления всех его обстоятельств, лишая возможности реализовать соответствующие права в ходе предварительного расследования до его завершения и блокируя доступ к правосудию, что не может быть в полной мере восполнено последующим привлечением к участию в деле в указанном качестве.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42 УПК Российской Федерации устанавливает,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3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 Тем самым приведенное законоположение не только не нарушает права таких лиц, но и, наоборот, предусматривая необходимость признания их в установленной законом процедуре потерпевшими, гарантирует их права, закрепленные в статьях 45, 46 и 52 Конституции Российской Федерации, притом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Одинцова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