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288679-П/2017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Валерия Александровича на нарушение его конституционных прав частью четвертой статьи 1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Применение аналогии закона обусловлено необходимостью восполнения пробелов в правовом регулировании тех или иных отношений. Закрепление подобного права в части четвертой статьи 1 ГПК Российской Федерации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поскольку невозможность применения норм права по аналогии при наличии неурегулированных отношений привела бы к невозможности защиты прав граждан и, в конечном итоге, к ограничению их конституционных прав. Таким образом, норма части четвертой статьи 1 ГПК Российской Федерации, направленная на реализацию задач гражданского судопроизводства по правильному и своевременному рассмотрению и 3 разрешению гражданских дел (статья 2 ГПК Российской Федерации), не может рассматриваться как нарушающая конституционное право заявителя на судебную защиту.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Валерия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