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234248-П/2016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Кайгородова Ивана Владимировича на нарушение его конституционных прав частью 2 статьи 57 Федерального закона «Об охоте и о сохранении охотничьих ресурсов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И.В.Кайгородова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«Об охоте и о сохранении охотничьих ресурсов и о внесении изменений в отдельные законодательные акты Российской Федерации» регулирует отношения, возникающие в связи с осуществлением видов деятельности в сфере охотничьего хозяйства (часть 1 статьи 4), основываясь в том числе на принципе обеспечения устойчивого существования и устойчивого использования охотничьих ресурсов, сохранения их биологического разнообразия (пункт 1 статьи 2). Данный Федеральный закон определяет участников отношений в области охоты и сохранения охотничьих ресурсов (статья 5), правила охоты (статья 23) и составляет правовую основу осуществления федерального государственного охотничьего надзора, задачами которого являются выявление, предупреждение и пресечение нарушений требований в области охоты и сохранения охотничьих ресурсов (часть 1 статьи 40). В силу части 1 статьи 3 57 указанного Федерального закона 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 При этом согласно пункту 5 статьи 1 Федерального закона «Об охоте и о сохранении охотничьих ресурсов и о внесении изменений в отдельные законодательные акты Российской Федерации» под охотой понимается деятельность, связанная с поиском, выслеживанием, преследованием охотничьих ресурсов, их добычей, первичной переработкой и транспортировкой. В целях наиболее эффективного осуществления надзора за данной специфической деятельностью федеральный законодатель приравнял к охоте нахождение в охотничьих угодьях физических лиц с орудиями охоты и (или) продукцией охоты, собаками охотничьих пород, ловчими птицами, тем самым признав охотой нахождение в условиях, свидетельствующих о ее ведении. Причем сама по себе оспариваемая норма позволяет лицу с достаточной степенью четкости сообразовывать с ней свое поведение – как дозволенное, так и запрещенное – и предвидеть вызываемые ее применением последствия. Что же касается административной ответственности, в том числе за нарушение правил охоты, то в силу статьи 26.1 КоАП Российской Федерации по делу об административном правонарушении подлежат выяснению все обстоятельства, имеющие значение для его правильного разрешения. Таким образом, оспариваемая норма, будучи направлена прежде всего на обеспечение устойчивого существования и устойчивого использования охотничьих ресурсов, сохранение их биологического разнообразия и не предполагающая возможность ее произвольного применения, не может рассматриваться как нарушающая конституционные права заявителя в указанном им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Кайгородова Ивана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