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299654-П/2017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«ПромЖилСтрой» на нарушение конституционных прав и свобод подпунктом «б» пункта 16 и подпунктом «ж» пункта 49 Правил организации коммерческого учета воды, сточных вод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ООО «ПромЖилСтрой»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арбитражными судами вышестоящих инстанций, были удовлетворены исковые требования ресурсоснабжающей организации к ООО «ПромЖилСтрой» о взыскании с ответчика в пользу истца задолженности по договору на отпуск питьевой воды и прием сточных вод, возникшей вследствие безучетного потребления ответчиком данного коммунального ресурса. При этом арбитражные суды исходили из того, что ответчиком был 2 нарушен срок проведения поверки прибора учета указанного коммунального ресурса, что в соответствии с подпунктом «ж» пункта 49 Правил организации коммерческого учета воды, сточных вод (утверждены постановлением Правительства Российской Федерации от 4 сентября 2013 года № 776) означает выход из строя (неисправность) данного прибора учета.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Содержащееся в подпункте «б» пункта 16 Правил организации коммерческого учета воды, сточных вод правовое регулирование, принятое в соответствии с положениями статьи 20 Федерального закона от 7 декабря 2011 года № 416-ФЗ «О водоснабжении и водоотведении», направлено – с учетом особенностей регулирируемых отношений – на обеспечение баланса интересов сторон договоров водоснабжения и водоотведения в случаях такого нарушения условий договора, как безучетное потребление энергии (коммунальных ресурсов) (Определение Конституционного Суда Российской Федерации от 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«ПромЖилСтрой»,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