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511780-П/2020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Крапивиной Юлианы Юрьевны на нарушение ее конституционных прав частями первой и четвертой статьи 129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Ю.Ю.Крапивиной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Ю.Ю.Крапивина оспаривает конституционность частей первой и четвертой статьи 129 Трудового кодекса Российской Федерации, определяющих понятия: «заработная плата (оплата труда работника)»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2 компенсационного характера) и стимулирующие выплаты (доплаты и надбавки стимулирующего характера, премии и иные поощрительные выплаты); «оклад (должностной оклад)»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 По мнению заявительницы, оспариваемые нормы, примененные в ее деле судами, противоречат статье 37 (часть 3) Конституции Российской Федерации, поскольку допускают установление оклада (должностного оклада) в размере ниже минимального размера оплаты труда и позволяют работодателю включать в состав заработной платы работника, не превышающей минимального размера оплаты труда, стимулирующие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Минимальный размер оплаты труда по своей конституционно- правовой природе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 (Постановление Конституционного Суда Российской Федерации от 27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Крапивиной Юлианы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