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316568-П/2018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Маматова Сергея Александровича на нарушение его конституционных прав пунктом 1 части пятой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С.А.Маматова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было отказано в удовлетворении жалобы гражданина С.А.Маматова, поданной в порядке статьи 125 УПК Российской Федерации, на действия должностных лиц органов предварительного расследования по приостановлению производства по его уголовному делу.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 предусматривает возможность обжалования в суд постановлений органа дознания, дознавателя, следователя, руководителя следственного органа об отказе в возбуждении уголовного дела, о прекращении уголовного дела, а равно иных решений и действий (бездействия)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(часть первая); по результатам рассмотрения жалобы судья выносит постановление либо о признании действия (бездействия) или решения соответствующего должностного лица незаконным или необоснованным и о его обязанности устранить допущенное нарушение, либо об оставлении жалобы без удовлетворения (часть пятая). Из содержания данной нормы прямо следует обязанность судьи рассмотреть жалобу на решения и действия (бездействие) должностных лиц 3 и принять одно из указанных решений, что не только не нарушает права и законные интересы лица, в отношении которого вынесено обжалуемое решение, а, напротив, обеспечивает их защиту (определения Конституционного Суда Российской Федерации от 20 декабря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Маматова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