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253080-П/2016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Варитловой Елены Хамидбиевны на нарушение ее конституционных прав частью первой статьи 281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Е.Х.Варитловой,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и дополнительно полученные материалы, не находит оснований для принятия ее жалобы к рассмотрению. В соответствии со статьями 96 и 97 Федерального конституционного закона «О Конституционном Суде Российской Федерации» правом на обращение в Конституционный Суд Российской Федерации с индивидуальной или коллективной жалобой обладают граждане, чьи права и свободы нарушаются законом; такая жалоба признается допустимой, если оспариваемый закон был применен в конкретном деле, рассмотрение которого завершено в суде. При этом,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Варитловой Елены Хамидбиевны,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