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Динора Бориса Ильича на нарушение его конституционных прав пунктом 2 статьи 597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Б.И.Динора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было отказано в удовлетворении исковых требований гражданина Б.И.Динора – получателя ренты об изменении договора пожизненной ренты в части обязания плательщика ренты выплачивать ежемесячную денежную сумму в рублях, эквивалентную 75 долларам США, но не менее трех установленных в статье 1 Федерального закона от 19 июня 2000 года № 82-ФЗ «О минимальном размере оплаты труда» минимальных месячных размеров оплаты труда. 2 Установив, что в соответствии с договором истец передал квартиру за плату, определенную по взаимному соглашению сторон, и, сославшись, в частности, на пункт 2 статьи 585 ГК Российской Федерации, предусматривающий применение (постольку, поскольку иное не установлено правилами главы о ренте и не противоречит существу ренты) к отношениям по передаче имущества по договору ренты правил о купле-продаже, а в случае, когда такое имущество передается бесплатно, – правил о договоре дарения, а также на выводы, содержащиеся в Постановлении Конституционного Суда Российской Федерации от 27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Динора Бориса Ильича,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