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489471-П/2020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июля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Гусейнова Эльдара Афраиловича на нарушение его конституционных прав частями первой и второй статьи 31, частями первой и третьей статьи 34 и пунктом 1 части первой статьи 227 Уголовно-процессуального кодекса Российской Федерации, а также статьей 297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Э.А.Гусейнова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мирового судьи от 2 марта 2020 года уголовное дело в отношении гражданина Э.А.Гусейнова по обвинению в совершении преступлений, предусмотренных частями первой и второй статьи 297 «Неуважение к суду» УК Российской Федерации, направлено по подсудности в районный суд, правомерность чего подтверждена решением суда апелляционной инстанции от 29 мая 2020 года. При этом суд второй инстанции 2 разъяснил, что поскольку рассмотрение этого дела не подсудно мировому судье, то и разрешать какие-либо вопросы по делу он был бы не вправе. В этой связи заявитель – утверждая, что предварительное расследование по его уголовному делу осуществлялось с нарушением требований закона, – просит признать не соответствующими статьям 18, 46 (части 1 и 2), 47 (часть 1), 49, 50 (часть 2) и 71 (пункт «о») Конституции Российской Федерации части первую и вторую статьи 31 «Подсудность уголовных дел», части первую и третью статьи 34 «Передача уголовного дела по подсудности» и пункт 1 части первой статьи 227 «Полномочия судьи по поступившему в суд уголовному делу» УПК Российской Федерации во взаимосвязи со статьей 297 УК Российской Федерации, как возлагающие на судью обязанность передать поступившее уголовное дело по подсудности без возможности проведения предварительного слушания и (или) возвращения дела прокурору ввиду допущенных нарушений, тем самым необоснованно увеличивая продолжительность уголовного судопроизводства.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Гусейнова Эльдара Афраиловича,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