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505750-П/2020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Кутдузова Наиля Рауфовича на нарушение его конституционных прав подпунктом «д» пункта 41 Положения о лицензировании предпринимательской деятельности по управлению многоквартирными домами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Н.Р.Кутдузова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Н.Р.Кутдузов оспаривает конституционность подпункта «д» пункта 41 Положения о лицензировании предпринимательской деятельности по управлению многоквартирными домами (утверждено Постановлением Правительства Российской Федерации от 28 октября 2014 года № 1110), согласно которому к грубым нарушениям лицензионных требований относится, в числе прочего, нарушение лицензионного требования, предусмотренного подпунктом «б» пункта 3 данного Положения,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размере, равном 2 или превышающем 2 среднемесячные величины обязательств по оплате по договору ресурсоснабжения,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(или) приобретения коммунальных ресурсов, потребляемых при использовании и содержании общего имущества в многоквартирном доме, независимо от факта последующей оплаты указанной задолженности лицензиатом. Как следует из представленных материалов, Н.Р.Кутдузов, являющийся директором управляющей организации, неоднократно привлекался к административной ответственности, предусмотренной частью 3 статьи 14.13 «Осуществление предпринимательской деятельности по управлению многоквартирными домами без лицензии» КоАП Российской Федерации, в связи с ненадлежащим исполнением договорных обязательств по оплате поставленного в многоквартирные дома коммунального ресурса. Оспаривая привлечение к административной ответственности, заявитель указывал на то, что подпункт «д» пункта 41 Положения о лицензировании предпринимательской деятельности по управлению многоквартирными домами не допускает определение суммы задолженности, необходимой для решения вопроса о наличии в действиях управляющей организации грубого нарушения лицензионных требований, на основании нескольких судебных актов. При этом суды, отклоняя доводы заявителя, исходили из того, что наличие задолженности должно быть подтверждено в судебном порядке, а количество судебных актов, которыми она подтверждена, не имеет правового значения. По мнению Н.Р.Кутдузова, оспариваемая норма не соответствует статьям 17 (часть 1), 34 (часть 2), 46 (часть 1) и 55 (часть 3) Конституции Российской Федерации, поскольку по смыслу, придаваемому ей правоприменительной практикой, она ограничивает право на судебную защиту и, будучи направленной на защиту прав ресурсоснабжающих организаций, нарушает конституционный принцип равенства.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Кутдузова Наиля Рауфовича,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