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376410-П/2018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Коваля Евгения Владиславовича на нарушение его конституционных прав пунктом 3 статьи 199 Гражданского кодекса Российской Федерации и подпунктом «а» пункта 119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Е.В.Коваля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199 ГК Российской Федерации, не допускающий односторонние действия, направленные на осуществление права, срок исковой давности для защиты которого истек, направлен на защиту прав должника по обязательству и сам по себе не может расцениваться как нарушающий конституционные права заявителя, равно как и подпункт «а» пункта 119 Правил предоставления коммунальных услуг собственникам и 4 пользователям помещений в многоквартирных домах и жилых домов, устанавливающий порядок извещения потребителя-должника об ограничении или приостановлении предоставления коммунальной услуги. Исследование же фактических обстоятельств, имеющих значение для разрешения дела, и связанный с этим выбор норм, подлежащих применению, относятся к ведению соответствующих судов общей юрисдикции и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Федерации», не входят.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Коваля Евгения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