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300654-П/2017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«Термофор» на нарушение конституционных прав и свобод пунктом 3 статьи 1474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«Термофор»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пункту 3 статьи 1474 ГК Российской Федерации не допускается использование юридическим лицом фирменного наименования, тождественного фирменному наименованию другого юридического лица или сходного с ним до степени смешения,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ранее, чем фирменное наименование первого юридического лица. Названная норма в системе действующего правового регулирования (пункты 1, 3 и 4 статьи 1, статья 10, пункт 1 статьи 1474, пункт 1 статьи 1475 ГК Российской Федерации и др.) направлена на реализацию положений статей 8 (часть 1), 15 (часть 4), 17 (часть 3), 34 (часть 2), 44 (часть 1) и 55 (часть 3) Конституции Российской Федерации во взаимосвязи со статьями 1(2) и 10.bis Парижской конвенции по охране промышленной собственности и не может рассматриваться как нарушающая в указанном в жалобе аспекте конституционные права заявителя, который, как указал арбитражный суд апелляционной инстанции, не представил доказательств, подтверждающих, что он приступил к осуществлению деятельности по реализации отопительных котлов ранее ответчика по первоначальному иску.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«Термофор»,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