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411912-П/2019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Кобисского Александра Михайловича на нарушение его конституционных прав частями 1, 2 и 3 статьи 25.2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А.М.Кобисского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А.М.Кобисский оспаривает конституционность положений статьи 25.2 КоАП Российской Федерации, в соответствии с которыми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 (часть 1);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2 процессуальными правами в соответствии с данным Кодексом (часть 2);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 (часть 3). Как следует из представленных материалов, постановлением суда общей юрисдикции водитель автомобиля, принадлежащего заявителю на праве собственности, был признан виновным в совершении административного правонарушения, предусмотренного частью 2 статьи 12.24 КоАП Российской Федерации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и ему было назначено административное наказание в виде административного штрафа в размере пятнадцати тысяч рублей. А.М.Кобисский, считая себя потерпевшим по этому административному делу, поскольку ему был причинен материальный ущерб, вместе с водителем оспорил указанное постановление. Однако суды вышестоящих инстанций оставили его без изменений, указав, что заявитель, будучи собственником транспортного средства, водитель которого является причинителем вреда, не является потерпевшим по делу об административном правонарушении по смыслу положений статьи 25.2 КоАП Российской Федерации. При этом суды отметили, что вопросы возмещения имущественного вреда работником работодателю регулируются нормами трудового законодательства, а вопросы выполнения обязательств, возникающих из причинения вреда иным лицам, соответственно, регулируются нормами гражданского законодательства. По мнению заявителя, части 1, 2 и 3 статьи 25.2 КоАП Российской Федерации, не позволяя признавать собственников транспортных средств, участвовавших в дорожно-транспортных происшествиях, потерпевшими по делам об административных правонарушениях, произвольно устанавливают 3 для них необоснованные различия в правовом положении в сравнении с теми лицами, которые признаны потерпевшими. Тем самым оспариваемые нормы создают препятствия для возмещения собственникам таких транспортных средств вреда, причиненного административным правонарушением, а потому противоречат статьям 15 (части 1 и 4), 19 (части 1 и 2), 35 (часть 1), 45, 46 (часть 1), 55 (часть 3), 56 (часть 3) и 123 (часть 3)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Из права на судебную защиту, как оно сформулировано в статье 46 Конституции Российской Федерации, не следует возможность выбора гражданином по своему усмотрению того или иного способа и процедуры судебной защиты, особенности которых применительно к отдельным категориям дел определяются федеральными законами (определения от 14 декабря 1999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Кобисского Александра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