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522203-П/2021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Шкуренкова Геннадия Сергеевича на нарушение его конституционных прав статьями 102 и 210 Уголовно- процессуального кодекса Российской Федерации, а также пунктом 19 постановления Пленума Верховного Суда Российской Федерации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РФ)» и пунктом 4 постановления Пленума Верховного Суда Российской Федерации «О применении норм главы 471 Уголовно-процессуального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Г.С.Шкуренкова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судьи Первого кассационного суда общей юрисдикции от 6 мая 2020 года и судьи Верховного Суда Российской Федерации от 18 июня 2020 года кассационные жалобы гражданина Г.С.Шкуренкова на постановление районного суда о разрешении производства обыска в жилище 2 возвращены без рассмотрения, поскольку уголовное дело в его отношении уже находится на рассмотрении по существу в суде первой инстанции, где подлежат оценке доводы о нарушении требований закона при производстве следственных действий и о недопустимости полученных доказательств. В этой связи заявитель просит признать не соответствующими статьям 17, 18, 21 (часть 2), 22, 23 (часть 1), 25, 27 (часть 1), 33, 45 и 46 Конституции Российской Федерации: пункт 19 постановления Пленума Верховного Суда Российской Федерации от 1 июня 2017 года № 19 «О практике рассмотрения судами ходатайств о производстве следственных действий, связанных с ограничением конституционных прав граждан (статья 165 УПК РФ)» и пункт 4 постановления Пленума Верховного Суда Российской Федерации от 25 июня 2019 года № 19 «О применении норм главы 471 Уголовно- процессуального кодекса Российской Федерации, регулирующих производство в суде кассационной инстанции», как препятствующие безотлагательному и отдельному (до вынесения итогового решения) рассмотрению кассационных жалоб на судебное решение о разрешении производства обыска в жилище; статьи 102 «Подписка о невыезде и надлежащем поведении» и 210 «Розыск подозреваемого, обвиняемого» УПК Российской Федерации, как позволившие следователю, по утверждению Г.С.Шкуренкова, заочно избрать ему меру пресечения в виде подписки о невыезде и надлежащем поведении и объявить его в розыск при условии, что уголовное дело в его отношении не возбуждалось, а защитник назначен после задержания.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Постановления Пленума Верховного Суда Российской Федерации как акты толкования закона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3 Федерации»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Шкуренкова Геннадия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