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364358-П/2018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Гавриковой Натальи Львовны на нарушение ее конституционных прав частью 4 статьи 17 и пунктом 5 части 5 статьи 29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а также частью 1 статьи 6 и статьей 7 Закона Рязанской области «Об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Н.Л.Гавриковой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Оспаривая конституционность части 4 статьи 17 и пункта 5 части 5 статьи 29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а также части 1 статьи 6 и статьи 7 Закона Рязанской области «Об отдельных вопросах правового регулирования отношений по организации регулярных перевозок пассажиров и багажа автомобильным транспортом и городским наземным электрическим транспортом в Рязанской области», заявительница утверждает, что ее дело ошибочно было отнесено к подведомственности арбитражных судов и рассмотрено в порядке, предусмотренном арбитражно- процессуальным законодательством. Кроме того, как утверждает заявительница, при разрешении ее дела неправильно применялись нормы права и она не имела возможности защищать себя в судебном порядке. 4 Тем самым заявительница фактически выражает несогласие с судебными актами, принятыми по ее делу, в рассмотрении которого участвовал ее представитель. Между тем проверка законности и обоснованности таких актов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Гавриковой Натальи Львовны,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