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365562-П/2018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«Алекор» на нарушение конституционных прав и свобод пунктом 6 статьи 11 Федерального закона «О государственной регистрации юридических лиц и индивидуальных предпринимателей»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по требованию ООО «Алекор» вопрос о возможности принятия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оставленным без изменения постановлением суда кассационной инстанции, было отменено решение арбитражного суда первой инстанции и отказано в удовлетворении требований ООО «Алекор» о признании незаконным бездействия инспекции Федеральной налоговой службы, выразившегося в неисключении из единого государственного реестра юридических лиц записи о недостоверности сведений в отношении ООО «Алекор», и о понуждении инспекции исключить из реестра запись о недостоверности сведений о генеральном директоре и учредителе данного общества.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«Алекор»,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