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474907-П/2020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Черкуновой Натальи Алексеевны на нарушение ее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гражданки Н.А.Черкуновой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Н.А.Черкунова утверждает, что статья 125 «Судебный порядок рассмотрения жалоб» УПК Российской Федерации противоречит статьям 46 (части 1 и 2) и 52 Конституции Российской Федерации в той мере, в какой не позволяет лицу, не являющемуся участником уголовного судопроизводства, обжаловать действия или бездействие прокурора, связанные с его надзорной деятельностью. Постановлением районного суда от 21 января 2020 года отказано в принятии жалобы Н.А.Черкуновой в связи с тем, что предмет ее обращения в суд (бездействие прокурора по проверке ее жалобы) не был связан с осуществлением уголовного преследования в досудебном производстве по 2 уголовному делу. Данное решение оставлено без изменения апелляционным постановлением от 12 марта 2020 года.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Черкуновой Натальи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