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510257-П/2020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Юдина Ивана Николаевича на нарушение его конституционных прав частью первой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И.Н.Юдина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городского суда Республики Бурятия от 29 января 2016 года (как суда, со слов гражданина И.Н.Юдина, по месту совершения им преступления) возвращена для устранения недостатков, препятствующих ее рассмотрению, поданная в порядке статьи 125 УПК Российской Федерации жалоба И.Н.Юдина на решение заместителя Генерального прокурора Российской Федерации об отказе в возбуждении производства по уголовному делу в отношении заявителя ввиду новых или вновь открывшихся обстоятельств, поскольку к обращению не были приложены документы в обоснование заявленных доводов, включая само 2 обжалуемое решение. Также суд указал, что рассмотрение данной жалобы не относится к его юрисдикции. Апелляционным постановлением от 21 апреля 2016 года названное судебное решение оставлено без изменения, однако отмечено, что вывод суда первой инстанции о неподсудности ему поданной жалобы является преждевременным, поскольку этот вопрос подлежит разрешению судом при разрешении вопроса о назначении судебного заседания. На то же указал и суд кассационной инстанции (постановление от 13 июля 2020 года об отказе в передаче кассационной жалобы для рассмотрения в судебном заседании суда кассационной инстанции). Другими судебными решениями, вынесенными в 2015 и 2016 годах, жалобы заявителя на решения должностных лиц органов прокуратуры также возвращены для устранения недостатков либо в их принятии отказано. И.Н.Юдин просит признать не соответствующей статье 47 (часть 1) Конституции Российской Федерации часть первую статьи 125 «Судебный порядок рассмотрения жалоб» УПК Российской Федерации, утверждая, что она нарушает его права, поскольку не позволяет однозначно определить территориальную подсудность рассмотрения поданной в порядке этой статьи жалобы на отказ прокурора любого уровня в возбуждении производства по уголовному делу ввиду новых или вновь открывшихся обстоятельств.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125 УПК Российской Федерации предусматривает, что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3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по общему правилу, в районный суд по месту совершения деяния, содержащего признаки преступления, и лишь в случаях, когда место производства предварительного расследования определено в соответствии с частями второй – шестой статьи 152 данного Кодекса, жалобы на действия (бездействие) и решения указанных лиц рассматриваются районным судом по месту нахождения органа, в производстве которого находится уголовное дело. Соответственно, оспариваемое И.Н.Юдиным законоположение направлено на обеспечение конституционных прав участников уголовного судопроизводства и неопределенности не содержит (определения Конституционного Суда Российской Федерации от 22 января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Юдина Ивана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