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329152-П/2018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 и пунктом 6 статьи 19 Кодекса профессиональной этики адвоката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следует из жалобы, доводы, приведенные Э.А.Гусейновым, а также изложенные в ней требования свидетельствуют о том, что нарушение своих прав он связывает не с дефектами правовых норм, а с неправильным их применением в его деле. Иными словами, заявитель, по существу, предлагает Конституционному Суду Российской Федерации оценить законность и обоснованность вынесенных по его делу правоприменительных решений. Между тем разрешение такого рода вопросов, равно как и оценка конституционности положений Кодекса профессиональной этики адвоката, являющегося корпоративным нормативным актом,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Кроме того, вопросы об участии защитника при рассмотрении жалоб в порядке статьи 125 УПК Российской Федерации, о предмете обжалования в порядке данной статьи, о допустимости участия защитника в производстве по уголовному делу в случае возбуждения в отношении него дисциплинарного производства по обращению подзащитного уже ставились Э.А.Гусейновым в предыдущих жалобах, по которым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