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«ТРУБПРОМ» на нарушение конституционных прав и свобод пунктом 1 статьи 168 Гражданского кодекса Российской Федерации во взаимосвязи с пунктом 71 постановления Пленума Верховного Суда Российской Федерации «О применении судами некоторых положений раздела I части первой Гражданского кодекса Российской Федерации» и пунктом 2.4 постановления Правительства Москвы «О мерах имущественной поддержки субъектов малого предпринимательства, арендующих объекты нежилого фонда, находящиеся в имущественной казне города Москвы»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ООО «ТРУБПРОМ»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постановлениями судов апелляционной и кассационной инстанций, были частично удовлетворены исковые требования Департамента городского 2 имущества города Москвы к ООО «ТРУБПРОМ» о взыскании задолженности по договору аренды. При этом суд, в частности, исходил из того, что уведомление об изменении ставки арендной платы является односторонней сделкой; с учетом в том числе пункта 1 статьи 168 ГК Российской Федерации такая сделка, даже будучи совершенной с нарушением положений пункта 2.4 постановления Правительства Москвы от 25 декабря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1 статьи 168 ГК Российской Федерации, закрепляющее, по общему правилу, оспоримость сделки, нарушающей требования закона или иного правового акта, находящееся в системной связи с положениями статьи 166 ГК Российской Федерации, согласно которым оспоримая сделка может быть признана судом недействительной, если она нарушает права или охраняемые законом интересы лица, оспаривающего сделку, а также статей 11 и 12 данного Кодекса о судебной защите гражданских прав и способах такой защиты, направлено на защиту прав и интересов лица, которое считает свои права и законные интересы нарушенными. Рассматриваемое в том числе во взаимосвязи с пунктом 71 постановления Пленума Верховного Суда Российской Федерации «О применении судами некоторых положений раздела I части первой Гражданского кодекса Российской Федерации» указанное законоположение не может расцениваться как нарушающее конституционные права заявителя по доводам, изложенным в жалобе. 4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«ТРУБПРОМ»,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