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Вакуленко Игоря Николаевича на нарушение его конституционных прав пунктом 1 статьи 1651 Гражданского кодекса Российской Федерации и пунктом 46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И.Н.Вакуленко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судом вышестоящей инстанции, было отменено решение суда общей юрисдикции в той части, в какой были удовлетворены исковые требования гражданина И.Н.Вакуленко о признании действий должностного лица ресурсоснабжающей (газоснабжающей) организации по отключению домовладения истца от сети газоснабжения незаконными, и в данной части вынесено новое решение – об отказе И.Н.Вакуленко в удовлетворении иска. При этом суды апелляционной и кассационной инстанций исходили в том 2 числе из того, что ответчиком была надлежащим образом исполнена обязанность по предварительному уведомлению истца о приостановлении исполнения обязательств по договору поставки коммунального ресурса (природного газа).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1651 ГК Российской Федерации, закрепляющий в качестве общего правила, что момент, с наступлением которого для лица возникают гражданско-правовые последствия, связанные с юридически значимым сообщением, определяется моментом доставки такого сообщения лицу или его представителю, а также приравнивающий к доставке сообщения его поступление лицу, которому оно направлено (адресату), но не было вручено по зависящим от этого лица обстоятельствам или которое не ознакомилось с этим сообщением, направлен на обеспечение определенности гражданских правоотношений и стабильности гражданского оборота и сам по себе не может рассматриваться как нарушающий конституционные права заявителя в его конкретном деле в указанном в жалобе аспекте. Содержащееся в пункте 46 Правил поставки газа для обеспечения коммунально-бытовых нужд граждан правовое регулирование, рассматриваемое в системной взаимосвязи с другими положениями данных Правил, закрепляющих порядок и условия приостановления исполнения поставщиком газа в одностороннем порядке обязательств по поставке газа, направлено на обеспечение баланса интересов сторон договора энергоснабжения (газоснабжения) и также не может расцениваться как нарушающее конституционные права заявителя, перечисленные в жалобе. Проверка же правильности установления и исследования фактических обстоятельств, послуживших основанием к отказу в удовлетворении заявленных И.Н.Вакуленко требований, равно как и проверка правильности 4 применения оспариваемых норм в конкретном деле,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Вакуленко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