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Бохонова Александра Валериевича на нарушение его конституционных прав пунктом 21 части второй статьи 30 и частями третьей, четвертой и пятой статьи 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А.В.Бохонова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А.В.Бохонов, осужденный приговором суда за совершение преступления, оспаривает конституционность пункта 21 части второй (ошибочно названного им частью второй1) статьи 30 УПК Российской Федерации, устанавливающего состав суда первой инстанции в виде судьи районного суда, гарнизонного военного суда и коллегии из шести присяжных заседателей по указанным в данной норме уголовным делам, а также частей третьей – пятой статьи 65 того же Кодекса, регламентирующей порядок рассмотрения заявления об отводе судьи. 2 Как утверждает А.В.Бохонов, эти законоположения нарушают его права, гарантированные статьями 1 (часть 1), 2, 3 (части 1 и 2), 15 (части 1, 2 и 4), 17– 19, 21, 29 (часть 3), 32 (часть 5), 45, 46 (части 1 и 2), 47, 49 (части 1 и 3), 50, 52, 53, 55, 64, 120 и 123 (часть 3) Конституции Российской Федерации, поскольку позволяют рассматривать заявления об отводе судей этим же судьям и отказывать в рассмотрении отводов, заявленных всему составу суда, а равно лишают лиц, обвиняемых в применении насилия в отношении представителя власти (статья 318 УК Российской Федерации), права на рассмотрение дела судом с участием присяжных заседателей.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статьи 65 УПК Российской Федерации, согласно которым отвод, заявленный нескольким судьям или всему составу суда, разрешается тем же судом в полном составе большинством голосов (часть третья), а отвод, заявленный судье, единолично рассматривающему уголовное дело, либо ходатайство о применении меры пресечения или производстве следственных действий, либо жалобу на постановление об отказе в возбуждении уголовного дела или о его прекращении, разрешается этим же судьей (часть четвертая), не предполагают произвольного, без учета оснований, предусмотренных статьями 61 и 63 данного Кодекса, решения вопроса об отводе судьи и не освобождают суд, разрешающий этот вопрос, от обязанности обосновать свои выводы ссылками на конкретные обстоятельства дела. К тому же справедливость и беспристрастность решения судьи гарантируются всей совокупностью уголовно-процессуальных средств и процедур, включающих контроль со стороны вышестоящих судебных инстанций, обязанных при выявлении того, что приговор или иное судебное решение вынесены незаконным составом суда, отменить его и направить уголовное дело на новое рассмотрение (определения Конституционного Суда Российской Федерации от 19 марта 2009 года № 237- О-О, от 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Бохонова Александра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