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238856-П/2016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Таракановой Татьяны Васильевны на нарушение ее конституционных прав рядом норм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по требованию гражданки Т.В.Таракановой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заявительницей законоположения не предполагают их произвольного применения и во взаимосвязи с другими предписаниями Гражданского процессуального кодекса Российской Федерации направлены на достижение задач гражданского судопроизводства по правильному и своевременному рассмотрению и разрешению гражданских дел (статья 2 ГПК Российской Федерации), а потому не могут расцениваться как нарушающие ее конституционные права, указанные в жалобе. Как следует из жалобы, заявительница связывает нарушение своих конституционных прав не с содержанием оспариваемых законоположений, а с судебными постановлениями, тем самым, по сути, предлагая оценить их законность и обоснованность, что к полномочиям Конституционного Суда Российской Федерации, определенным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Таракановой Татьяны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