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431884-П/2014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Ильичева Романа Анатольевича на нарушение его конституционных прав статьями 503–506 Лесного кодекса Российской Федерации, статьей 8.281 Кодекса Российской Федерации об административных правонарушениях и распоряжением Правительства Российской Федерации от 13 июня 2014 года № 1047-р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Р.А.Ильичева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Р.А.Ильичев оспаривает конституционность статей 503 «Общие положения о транспортировке древесины и об учете сделок с ней», 504 «Транспортировка древесины», 505 «Декларация о сделках с древесиной», 506 «Единая государственная автоматизированная информационная система учета древесины и сделок с ней» Лесного кодекса Российской Федерации, статьи 8.281 «Нарушение требований лесного законодательства об учете древесины и сделок с ней» КоАП Российской Федерации и распоряжения 2 Правительства Российской Федерации от 13 июня 2014 года № 1047-р об утверждении перечней видов древесины, на которые распространяются требования Лесного кодекса Российской Федерации о транспортировке древесины и об учете сделок с ней (глава 22). Как следует из представленных материалов, постановлением мирового судьи от 18 февраля 2019 года (вступило в законную силу 20 марта 2019 года) индивидуальный предприниматель Р.А.Ильичев был привлечен к административной ответственности за непредставление декларации о сделках с древесиной (часть 1 статьи 8.281 КоАП Российской Федерации). Заявитель просит признать оспариваемые законоположения не соответствующими статьям 2, 8, 9, 23, 24, 34, 35, 55 (части 2 и 3) и 74 Конституции Российской Федерации, поскольку, по его мнению, установление обязанности подавать декларацию о сделках с древесиной нарушает свободу предпринимательской деятельности и препятствует свободному перемещению товаров.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Главы 22 и 23 Лесного кодекса Российской Федерации, включающие в себя статьи 503, 504, 505 и 506, устанавливают специальные правила, регулирующие отношения, связанные с транспортировкой древесины и сделками с нею, а также определяют правовые основы функционирования единой государственной автоматизированной информационной системы учета древесины и сделок с нею. В соответствии с данными правилами юридические лица, индивидуальные предприниматели, совершившие сделки с древесиной, в том числе в целях ввоза в Российскую Федерацию, вывоза из Российской Федерации, представляют уполномоченному федеральному органу исполнительной власти, являющемуся оператором единой государственной автоматизированной информационной системы учета древесины и сделок с нею, декларацию о сделках с древесиной в форме электронного документа, 3 подписанного электронной подписью, с использованием информационно- телекоммуникационных сетей общего пользования, в том числе сети «Интернет», включая единый портал государственных и муниципальных услуг. В этой декларации указываются, в частности, информация о собственниках древесины, сторонах сделок с древесиной; сведения об объеме древесины, о ее видовом (породном) и сортиментном составе; сведения о документах, на основании которых была осуществлена заготовка древесины; сведения о договоре, по которому приобретается или отчуждается древесина; сведения о месте складирования древесины (при наличии) (часть 2 статьи 505 Лесного кодекса Российской Федерации). При этом указанные законоположения действуют во взаимосвязи с распоряжением Правительства Российской Федерации от 13 июня 2014 года № 1047-р, утвердившим перечни видов древесины, на которые распространяются требования главы 22 Лесного кодекса Российской Федерации, а соблюдение указанных правил обеспечивает статья 8.281 КоАП Российской Федерации, устанавливающая административную ответственность за нарушение требований лесного законодательства об учете древесины и сделок с нею. Само по себе декларирование сделок с древесиной обеспечивает контроль за перемещением древесины из мест ее заготовки, позволяя выявить участников незаконного оборота лесных ресурсов. Тем самым указанное декларирование выступает в качестве дополнительной меры противодействия нарушениям лесного законодательства (незаконным рубкам лесных насаждений), притом что сведения, указываемые в декларации, обеспечивают ее эффективность. Таким образом, оспариваемые нормы не могут рассматриваться как нарушающие конституционные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Ильичева Романа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