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297167-П/2017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«РУСГАРАНТСТРОЙ» на нарушение конституционных прав и свобод положениями статей 15, 368, 369, 370 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ООО «РУСГАРАНТСТРОЙ»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были отменены судебные акты арбитражных судов первой и апелляционной инстанций и отказано в удовлетворении исковых требований ООО «РУСГАРАНТСТРОЙ» к федеральному казенному учреждению в части взыскания 22 197 960,90 рублей неосновательного обогащения и 3 856 069,45 рублей процентов за пользование чужими денежными средствами. Установив, в частности, что исполнение обязательств по государственному контракту истцом (подрядчиком по государственному контракту) было обеспечено безотзывной банковской гарантией, суд кассационной инстанции 2 посчитал неправомерным вывод суда нижестоящей инстанции о том, что материалы дела подтверждают совокупность условий, являющихся основанием для удовлетворения требований о возмещении причиненных выплатой возмещения по банковской гарантии убытков.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«РУСГАРАНТСТРОЙ»,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