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325927-П/2018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Кротова Владислава Ратмировича на нарушение его конституционных прав пунктом 2 части 3 статьи 18 и статьей 288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В.Р.Кротова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Формирование состава суда для рассмотрения дела, т.е. определение конкретного судьи или судей, осуществляется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 (часть 1 статьи 18 АПК Российской Федерации). 3 Согласно части 2 статьи 18 АПК Российской Федерации дело, рассмотрение которого начато одним судьей или составом суда, должно быть рассмотрено этим же судьей или составом суда. В то же время Арбитражный процессуальный кодекс Российской Федерации допускает возможность замены одного из судей в процессе рассмотрения дела в случае заявленного и удовлетворенного в порядке, установленном данным Кодексом, самоотвода или отвода судьи, длительного отсутствия судьи ввиду болезни, отпуска, пребывания на учебе, нахождения в служебной командировке, а также в случаях прекращения или приостановления его полномочий по основаниям, установленным федеральным законом. Установленный порядок замены судьи служит гарантией от произвольной передачи дела от одного судьи другому судье этого же суда либо от произвольной замены судей при коллегиальном рассмотрении дела. Если замена в составе суда, рассматривающего дело, произведена без наличия на то установленных процессуальным законом оснований, то сформированный подобным образом состав суда должен быть признан сформированным с нарушением статьи 18 АПК Российской Федерации, т.е. незаконным, что в любом случае влечет отмену принятого им судебного акта (пункт 1 части 4 статьи 270 и пункт 1 части 4 статьи 288 АПК Российской Федерации). Такое законодательное регулирование призвано обеспечить реализацию конституционного права каждого на рассмотрение его в том суде и тем судьей, к подсудности которых оно отнесено законом (Определение Конституционного Суда Российской Федерации от 3 апреля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Кротова Владислава Ратмировича,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