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343507-П/2018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Абрамяна Роберта Владимировича на нарушение его конституционных прав частью третьей статьи 35, статьей 125 и пунктом 3 части второй статьи 3893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Р.В.Абрамяна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краевого суда от 15 января 2018 года была изменена территориальная подсудность уголовного дела в отношении гражданина Р.В.Абрамяна, правомерность чего впоследствии подтверждена апелляционным определением судебной коллегии по уголовным делам того же суда от 6 марта 2018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Абрамяна Роберта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