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248660-П/2016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Семченко Петра Петровича на нарушение его конституционных прав частью третьей статьи 4121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П.П.Семченко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16 октября 2015 года и оставившим его без изменения решением заместителя Председателя Верховного Суда Российской Федерации от 30 мая 2016 года отказано в удовлетворении кассационных жалоб гражданина П.П.Семченко о пересмотре вынесенных в его отношении приговора районного суда и определения суда второй инстанции. Последующая его кассационная жалоба об оспаривании тех же судебных решений была возвращена без рассмотрения письмом судьи Верховного Суда Российской Федерации от 27 2 июня 2016 года со ссылкой на статью 40117 УПК Российской Федерации как повторная. Продолжая оспаривание приговора и определения суда второй инстанции, П.П.Семченко обратился с надзорной жалобой в адрес Президиума Верховного Суда Российской Федерации, однако жалоба была расценена как очередная кассационная и потому письмом судьи этого суда от 27 июля 2016 года аналогичным образом возвращена без рассмотрения; при этом разъяснялось, что обжалуемые судебные решения не отнесены к числу подлежащих оспариванию в порядке надзора.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(или 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46‒53, 118, 120, 123 и 125‒128 Конституции Российской 3 Федерации, федеральными конституционными законами и федеральными законами.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Семченко Петра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