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350672-П/2018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Кармаева Олега Владимировича на нарушение его конституционных прав частью девятой статьи 166, частью шестой статьи 220 и частью первой статьи 222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О.В.Кармаева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Частью девятой статьи 166 УПК Российской Федерации прямо установлено, что при необходимости обеспечить безопасность потерпевшего, его представителя, свидетеля, их близких родственников, родственников и близких лиц следователь, дознаватель вправе в протоколе следственного действия, в котором участвуют потерпевший, его представитель или свидетель, не приводить данные об их личности; в этом случае следователь с согласия руководителя следственного органа или дознаватель с согласия начальника органа дознания выносит постановление, в котором излагаются причины принятия решения о сохранении в тайне этих данных, указывается псевдоним участника следственного действия и приводится образец его подписи, которые он будет использовать в протоколах следственных действий, произведенных с его участием; постановление помещается в конверт, который после этого опечатывается, приобщается к уголовному делу и хранится при нем в условиях, исключающих возможность ознакомления с ним иных участников уголовного судопроизводства; в случаях, не терпящих отлагательства, указанное следственное действие может быть произведено на основании постановления следователя или дознавателя о сохранении в тайне данных о личности участника следственного действия без получения согласия соответственно руководителя следственного органа, начальника органа дознания; в данном 3 случае постановление следователя передается руководителю следственного органа, а постановление дознавателя – начальнику органа дознания для проверки его законности и обоснованности незамедлительно при появлении для этого реальной возможности. Согласно части шестой статьи 220 УПК Российской Федерации после подписания следователем обвинительного заключения уголовное дело с согласия руководителя следственного органа немедленно направляется прокурору. Частью первой статьи 222 этого Кодекса предусмотрено, что после утверждения обвинительного заключения прокурор направляет уголовное дело в суд, о чем уведомляет обвиняемого, его защитника, потерпевшего, гражданского истца, гражданского ответчика и (или) представителей и разъясняет им право заявлять ходатайство о проведении предварительного слушания в порядке, установленном главой 15 этого Кодекса. Данные нормы не регулируют вопросов обеспечения безопасности участников процесса, в том числе вопрос о направлении конверта, содержащего постановление о сохранении в тайне данных о личности допрошенного свидетеля. Таким образом, оспариваемые О.В.Кармаевым положения уголовно- процессуального закона сами по себе его прав не нарушают. Проверка же правильности применения норм права с учетом фактических обстоятельств конкретного дела, на что, по существу, направлены доводы заявителя,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Кармаева Олега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