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264268-П/2017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Товаловича Станислава Евгеньевича на нарушение его конституционных прав абзацем первым части 1 статьи 27.1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С.Е.Товаловича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Исходя из положений Конституции Российской Федерации, устанавливающих принципы правового государства и приоритета прав человека и гражданина (статья 1, часть 1; статьи 2 и 18), критерии их допустимых ограничений и гарантии государственной, в том числе судебной, защиты (статья 17, часть 3; статья 19, части 1 и 2; статьи 45 и 46; статья 55, части 2 и 3), акт о применении принудительных мер обеспечения производства по делу об административном правонарушении является законным, если он издан на основании закона и по сути отвечает конституционным требованиям справедливости, соразмерности и правовой безопасности. Применение мер обеспечения производства по делу об 3 административном правонарушении является правомерным, если оно, отвечая критериям, вытекающим из статьи 55 (часть 3) Конституции Российской Федерации, обусловлено характером правонарушения и необходимо для последующего исполнения решения по делу об административном правонарушении (Постановление Конституционного Суда Российской Федерации от 16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Товаловича Станислава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