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Тоцкого Дмитрия Сергеевича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Д.С.Тоцкого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Так, статья 4018 УПК Российской Федерации, являясь частью механизма пересмотра вступивших в законную силу судебных решений по уголовным делам в кассационном порядке, закрепляет, что судьи, указанные в статье 4017 этого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выносят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(при этом кассационные жалоба, представление и копии обжалуемых судебных постановлений остаются в суде кассационной инстанции),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указал Конституционный Суд Российской Федерации в Постановлении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Тоцкого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