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Широкова Ярослава Евгеньевича на нарушение его конституционных прав пунктом 4 статьи 307, пунктом 5 статьи 40110 и частью первой статьи 40115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Я.Е.Широкова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пункта 4 статьи 307, пункта 5 статьи 40110 и части первой статьи 40115 УПК Российской Федерации устанавливают, что описательно- мотивировочная часть обвинительного приговора должна содержать мотивы решения всех вопросов, относящихся к назначению уголовного наказания, освобождению от него или его отбывания, применению иных мер воздействия; постановление судьи об отказе в передаче кассационных жалобы, представления для рассмотрения в судебном заседании суда кассационной инстанции должно содержать мотивы, по которым отказано в передаче кассационных жалобы, представления для рассмотрения в судебном заседании суда кассационной инстанции; основаниями для отмены или 3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Действуя во взаимосвязи с частью четвертой статьи 7 этого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данные нормы прямо предусматривают, что в перечисленных судебных решениях должны быть изложены доводы лица, подавшего жалобу, и мотивы принимаемого по жалобе судебного решения. Положения названных статей не допускают отказ судов от рассмотрения и оценки всех доводов участников уголовного судопроизводства, а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8 июля 2004 года № 237- О, от 25 января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Широкова Ярослава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