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327921-П/2018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Працюк Инги Юрьевны на нарушение ее конституционных прав пунктом 4 статьи 21328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И.Ю.Працюк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гражданка И.Ю.Працюк была признана несостоятельной (банкротом), введена процедура реализации ее имущества, утвержден финансовый управляющий. Впоследствии определением того же суда процедура реализации имущества И.Ю.Працюк была завершена, должник освобожден от дальнейшего исполнения требований кредиторов, в том числе требований кредиторов, не заявленных при введении реализации имущества гражданина. Однако постановлением арбитражного апелляционного суда, оставленным без изменения постановлением суда кассационной инстанции, определение арбитражного 2 суда первой инстанции о завершении процедуры реализации имущества гражданина было изменено и в освобождении должника от дальнейшего исполнения требований кредиторов отказано. При этом суд апелляционной инстанции, учитывая фактические обстоятельства дела, пришел к выводу, что неисполнение должником обязанности по возврату денежных средств кредитору следует квалифицировать как злостное уклонение от исполнения обязательств, а также расценил обращение должника в суд с заявлением о признании его банкротом как злоупотребление правом.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4 статьи 21328 Федерального закона «О несостоятельности (банкротстве)», определяя основания, при которых освобождение гражданина от обязательств не допускается, предусматривает, в частности, что такое освобождение от обязательств не допускается в случае, если доказано, что при возникновении или исполнении обязательства, на котором 3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 если эти случаи выявлены после завершения реализации имущества гражданина. Данные законоположения направлены в том числе на недопустимость использования механизма освобождения гражданина от обязательств в случаях, когда при возникновении или исполнении обязательства имело место поведение гражданина-должника, не согласующееся с требованиями статей 15 (часть 2) и 17 (часть 3)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 а также с требованиями статьи 1 ГК Российской Федерации,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(пункты 3 и 4). С учетом как указанных норм, так и правовых позиций Конституционного Суда Российской Федерации о недопустимости злоупотребления правом оспариваемые законоположения не могут рассматриваться как нарушающие конституционные права заявительницы, указанные в жалобе. 4 Установление же и оценка фактических обстоятельств конкретного дела, а также проверка правильности применения оспариваемых норм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Працюк Инги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